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F4" w:rsidRDefault="00DF50F4">
      <w:r>
        <w:rPr>
          <w:noProof/>
          <w:lang w:eastAsia="es-ES"/>
        </w:rPr>
        <w:drawing>
          <wp:inline distT="0" distB="0" distL="0" distR="0">
            <wp:extent cx="5400040" cy="1319530"/>
            <wp:effectExtent l="0" t="0" r="0" b="0"/>
            <wp:docPr id="729280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80117" name=""/>
                    <pic:cNvPicPr/>
                  </pic:nvPicPr>
                  <pic:blipFill>
                    <a:blip r:embed="rId5" cstate="print"/>
                    <a:stretch>
                      <a:fillRect/>
                    </a:stretch>
                  </pic:blipFill>
                  <pic:spPr>
                    <a:xfrm>
                      <a:off x="0" y="0"/>
                      <a:ext cx="5400040" cy="1319530"/>
                    </a:xfrm>
                    <a:prstGeom prst="rect">
                      <a:avLst/>
                    </a:prstGeom>
                  </pic:spPr>
                </pic:pic>
              </a:graphicData>
            </a:graphic>
          </wp:inline>
        </w:drawing>
      </w:r>
    </w:p>
    <w:p w:rsidR="00563A0A" w:rsidRDefault="00563A0A" w:rsidP="005470DD">
      <w:pPr>
        <w:pStyle w:val="Default"/>
        <w:jc w:val="both"/>
      </w:pPr>
    </w:p>
    <w:p w:rsidR="00E57E0B" w:rsidRDefault="00E57E0B" w:rsidP="005470DD">
      <w:pPr>
        <w:pStyle w:val="Default"/>
        <w:jc w:val="both"/>
        <w:rPr>
          <w:sz w:val="23"/>
          <w:szCs w:val="23"/>
        </w:rPr>
      </w:pPr>
      <w:r>
        <w:t xml:space="preserve">Dentro del Convenio Marco de colaboración entre </w:t>
      </w:r>
      <w:r w:rsidR="00DF50F4">
        <w:t xml:space="preserve">el </w:t>
      </w:r>
      <w:r>
        <w:t xml:space="preserve">Colegio Oficial de Peritos e Ingenieros Técnicos Industriales de Ávila y la Universidad Católica de Ávila, se ha firmado un nuevo </w:t>
      </w:r>
      <w:r w:rsidRPr="00E57E0B">
        <w:rPr>
          <w:b/>
          <w:bCs/>
        </w:rPr>
        <w:t>convenio</w:t>
      </w:r>
      <w:r>
        <w:t xml:space="preserve"> para la promoción de oferta formativa y condiciones ventajosas que </w:t>
      </w:r>
      <w:r>
        <w:rPr>
          <w:sz w:val="23"/>
          <w:szCs w:val="23"/>
        </w:rPr>
        <w:t>podrán ser aplicadas a las nuevas matrículas para cursar estudios universitarios oficiales en la UCAV</w:t>
      </w:r>
    </w:p>
    <w:p w:rsidR="00E57E0B" w:rsidRDefault="00E57E0B" w:rsidP="005470DD">
      <w:pPr>
        <w:pStyle w:val="Default"/>
        <w:jc w:val="both"/>
        <w:rPr>
          <w:sz w:val="23"/>
          <w:szCs w:val="23"/>
        </w:rPr>
      </w:pPr>
      <w:r w:rsidRPr="00E57E0B">
        <w:rPr>
          <w:b/>
          <w:bCs/>
          <w:sz w:val="23"/>
          <w:szCs w:val="23"/>
        </w:rPr>
        <w:t>Se aplicará un descuento del 10% a los colegiados de COGITI</w:t>
      </w:r>
      <w:r>
        <w:rPr>
          <w:sz w:val="23"/>
          <w:szCs w:val="23"/>
        </w:rPr>
        <w:t xml:space="preserve"> que tengan, al menos, un año de antigüedad como tal, </w:t>
      </w:r>
      <w:r w:rsidRPr="00686BBD">
        <w:rPr>
          <w:b/>
          <w:bCs/>
          <w:sz w:val="23"/>
          <w:szCs w:val="23"/>
        </w:rPr>
        <w:t>y sus hijos</w:t>
      </w:r>
      <w:r>
        <w:rPr>
          <w:sz w:val="23"/>
          <w:szCs w:val="23"/>
        </w:rPr>
        <w:t xml:space="preserve">. Para la aplicación efectiva del Descuento, en el momento de formalizar cada matrícula, el/la beneficiario/a deberá presentar documentación acreditativa de su condición (colegiado/a de COGITI con al menos un año de antigüedad, o hijo de colegiado) debiendo mantener la misma durante todo el curso académico en el que se le haya aplicado el Descuento. </w:t>
      </w:r>
    </w:p>
    <w:p w:rsidR="00E57E0B" w:rsidRDefault="00E57E0B" w:rsidP="00E57E0B">
      <w:pPr>
        <w:pStyle w:val="Default"/>
        <w:rPr>
          <w:sz w:val="23"/>
          <w:szCs w:val="23"/>
        </w:rPr>
      </w:pPr>
    </w:p>
    <w:p w:rsidR="00686BBD" w:rsidRDefault="00686BBD" w:rsidP="00E57E0B">
      <w:pPr>
        <w:pStyle w:val="Default"/>
        <w:rPr>
          <w:sz w:val="23"/>
          <w:szCs w:val="23"/>
        </w:rPr>
      </w:pPr>
      <w:r>
        <w:rPr>
          <w:sz w:val="23"/>
          <w:szCs w:val="23"/>
        </w:rPr>
        <w:t>CONSULTAMOS para más información</w:t>
      </w:r>
    </w:p>
    <w:p w:rsidR="00DF50F4" w:rsidRDefault="00DF50F4"/>
    <w:p w:rsidR="00686BBD" w:rsidRDefault="00686BBD">
      <w:r>
        <w:t>Estudios universitarios oficiales:</w:t>
      </w:r>
    </w:p>
    <w:p w:rsidR="005470DD" w:rsidRDefault="005470DD" w:rsidP="005470DD">
      <w:pPr>
        <w:pStyle w:val="Prrafodelista"/>
        <w:numPr>
          <w:ilvl w:val="0"/>
          <w:numId w:val="1"/>
        </w:numPr>
      </w:pPr>
      <w:r>
        <w:t>Grado en Ingeniería Informática - Sistemas de Información.</w:t>
      </w:r>
    </w:p>
    <w:p w:rsidR="005470DD" w:rsidRDefault="005470DD" w:rsidP="005470DD">
      <w:pPr>
        <w:pStyle w:val="Prrafodelista"/>
        <w:numPr>
          <w:ilvl w:val="0"/>
          <w:numId w:val="1"/>
        </w:numPr>
      </w:pPr>
      <w:r>
        <w:t>Grado en Ingeniería de las Industrias Agrarias y Alimentarias.</w:t>
      </w:r>
    </w:p>
    <w:p w:rsidR="005470DD" w:rsidRDefault="005470DD" w:rsidP="005470DD">
      <w:pPr>
        <w:pStyle w:val="Prrafodelista"/>
        <w:numPr>
          <w:ilvl w:val="0"/>
          <w:numId w:val="1"/>
        </w:numPr>
      </w:pPr>
      <w:r>
        <w:t>Grado en Diseño y Desarrollo de Videojuegos y Entornos Virtuales.</w:t>
      </w:r>
    </w:p>
    <w:p w:rsidR="005470DD" w:rsidRDefault="005470DD" w:rsidP="005470DD">
      <w:pPr>
        <w:pStyle w:val="Prrafodelista"/>
        <w:numPr>
          <w:ilvl w:val="0"/>
          <w:numId w:val="1"/>
        </w:numPr>
      </w:pPr>
      <w:r>
        <w:t>Grado en Ingeniería Forestal y del Medio Natural.</w:t>
      </w:r>
    </w:p>
    <w:p w:rsidR="005470DD" w:rsidRDefault="005470DD" w:rsidP="005470DD">
      <w:pPr>
        <w:pStyle w:val="Prrafodelista"/>
        <w:numPr>
          <w:ilvl w:val="0"/>
          <w:numId w:val="1"/>
        </w:numPr>
      </w:pPr>
      <w:r>
        <w:t>Grado en Ingeniería Mecánica.</w:t>
      </w:r>
    </w:p>
    <w:p w:rsidR="005470DD" w:rsidRDefault="005470DD" w:rsidP="005470DD">
      <w:pPr>
        <w:pStyle w:val="Prrafodelista"/>
        <w:numPr>
          <w:ilvl w:val="0"/>
          <w:numId w:val="1"/>
        </w:numPr>
      </w:pPr>
      <w:r>
        <w:t>Grado en Ciencias Ambientales.</w:t>
      </w:r>
    </w:p>
    <w:p w:rsidR="005470DD" w:rsidRDefault="005470DD" w:rsidP="005470DD">
      <w:pPr>
        <w:pStyle w:val="Prrafodelista"/>
        <w:numPr>
          <w:ilvl w:val="0"/>
          <w:numId w:val="1"/>
        </w:numPr>
      </w:pPr>
      <w:r>
        <w:t xml:space="preserve">Grado en </w:t>
      </w:r>
      <w:proofErr w:type="spellStart"/>
      <w:r>
        <w:t>Bioinformática</w:t>
      </w:r>
      <w:proofErr w:type="spellEnd"/>
      <w:r>
        <w:t>.</w:t>
      </w:r>
    </w:p>
    <w:p w:rsidR="005470DD" w:rsidRDefault="005470DD" w:rsidP="005470DD">
      <w:pPr>
        <w:pStyle w:val="Prrafodelista"/>
        <w:numPr>
          <w:ilvl w:val="0"/>
          <w:numId w:val="1"/>
        </w:numPr>
      </w:pPr>
      <w:r>
        <w:t>Grado en Ingeniería Electrónica Industrial y Automática.</w:t>
      </w:r>
    </w:p>
    <w:p w:rsidR="005470DD" w:rsidRDefault="005470DD" w:rsidP="005470DD">
      <w:pPr>
        <w:pStyle w:val="Prrafodelista"/>
        <w:numPr>
          <w:ilvl w:val="0"/>
          <w:numId w:val="1"/>
        </w:numPr>
      </w:pPr>
      <w:r>
        <w:t>Grado en Farmacia.</w:t>
      </w:r>
    </w:p>
    <w:p w:rsidR="005470DD" w:rsidRDefault="005470DD" w:rsidP="005470DD">
      <w:pPr>
        <w:pStyle w:val="Prrafodelista"/>
        <w:numPr>
          <w:ilvl w:val="0"/>
          <w:numId w:val="1"/>
        </w:numPr>
      </w:pPr>
      <w:r>
        <w:t>Grado en Nutrición Humana y Dietética.</w:t>
      </w:r>
    </w:p>
    <w:p w:rsidR="005470DD" w:rsidRDefault="005470DD" w:rsidP="005470DD">
      <w:pPr>
        <w:pStyle w:val="Prrafodelista"/>
        <w:numPr>
          <w:ilvl w:val="0"/>
          <w:numId w:val="1"/>
        </w:numPr>
      </w:pPr>
      <w:r>
        <w:t>Grado en Fisioterapia.</w:t>
      </w:r>
    </w:p>
    <w:p w:rsidR="005470DD" w:rsidRDefault="005470DD" w:rsidP="005470DD">
      <w:pPr>
        <w:pStyle w:val="Prrafodelista"/>
        <w:numPr>
          <w:ilvl w:val="0"/>
          <w:numId w:val="1"/>
        </w:numPr>
      </w:pPr>
      <w:r>
        <w:t>Grado en Psicología.</w:t>
      </w:r>
    </w:p>
    <w:p w:rsidR="005470DD" w:rsidRDefault="005470DD" w:rsidP="005470DD">
      <w:pPr>
        <w:pStyle w:val="Prrafodelista"/>
        <w:numPr>
          <w:ilvl w:val="0"/>
          <w:numId w:val="1"/>
        </w:numPr>
      </w:pPr>
      <w:r>
        <w:t>Grado en Filosofía.</w:t>
      </w:r>
    </w:p>
    <w:p w:rsidR="005470DD" w:rsidRDefault="005470DD" w:rsidP="005470DD">
      <w:pPr>
        <w:pStyle w:val="Prrafodelista"/>
        <w:numPr>
          <w:ilvl w:val="0"/>
          <w:numId w:val="1"/>
        </w:numPr>
      </w:pPr>
      <w:r>
        <w:t>Grado en Políticas de Seguridad y Control de la Criminalidad.</w:t>
      </w:r>
    </w:p>
    <w:p w:rsidR="005470DD" w:rsidRDefault="005470DD" w:rsidP="005470DD">
      <w:pPr>
        <w:pStyle w:val="Prrafodelista"/>
        <w:numPr>
          <w:ilvl w:val="0"/>
          <w:numId w:val="1"/>
        </w:numPr>
      </w:pPr>
      <w:r>
        <w:t>Grado en ADE</w:t>
      </w:r>
    </w:p>
    <w:p w:rsidR="005470DD" w:rsidRDefault="005470DD" w:rsidP="005470DD">
      <w:pPr>
        <w:pStyle w:val="Prrafodelista"/>
        <w:numPr>
          <w:ilvl w:val="0"/>
          <w:numId w:val="1"/>
        </w:numPr>
      </w:pPr>
      <w:r>
        <w:t>Grado en Economía.</w:t>
      </w:r>
    </w:p>
    <w:p w:rsidR="005470DD" w:rsidRDefault="005470DD" w:rsidP="005470DD">
      <w:pPr>
        <w:pStyle w:val="Prrafodelista"/>
        <w:numPr>
          <w:ilvl w:val="0"/>
          <w:numId w:val="1"/>
        </w:numPr>
      </w:pPr>
      <w:r>
        <w:t>Grado en Derecho.</w:t>
      </w:r>
    </w:p>
    <w:p w:rsidR="005470DD" w:rsidRDefault="005470DD" w:rsidP="005470DD">
      <w:pPr>
        <w:pStyle w:val="Prrafodelista"/>
        <w:numPr>
          <w:ilvl w:val="0"/>
          <w:numId w:val="1"/>
        </w:numPr>
      </w:pPr>
      <w:r>
        <w:t>Máster Universitario en Ingeniería Industrial.</w:t>
      </w:r>
    </w:p>
    <w:p w:rsidR="005470DD" w:rsidRDefault="005470DD" w:rsidP="005470DD">
      <w:pPr>
        <w:pStyle w:val="Prrafodelista"/>
        <w:numPr>
          <w:ilvl w:val="0"/>
          <w:numId w:val="1"/>
        </w:numPr>
      </w:pPr>
      <w:r>
        <w:t>Máster Universitario en Promoción Profesional para la Gestión de Crisis en Seguridad y Defensa.</w:t>
      </w:r>
    </w:p>
    <w:p w:rsidR="00563A0A" w:rsidRDefault="00563A0A" w:rsidP="005470DD">
      <w:pPr>
        <w:pStyle w:val="Prrafodelista"/>
        <w:numPr>
          <w:ilvl w:val="0"/>
          <w:numId w:val="1"/>
        </w:numPr>
      </w:pPr>
      <w:r>
        <w:t>Máster Universitario en Dirección y Gestión Sanitaria.</w:t>
      </w:r>
    </w:p>
    <w:p w:rsidR="00563A0A" w:rsidRDefault="00563A0A" w:rsidP="005470DD">
      <w:pPr>
        <w:pStyle w:val="Prrafodelista"/>
        <w:numPr>
          <w:ilvl w:val="0"/>
          <w:numId w:val="1"/>
        </w:numPr>
      </w:pPr>
      <w:r>
        <w:t>Máster en Prevención de Riesgos Laborales.</w:t>
      </w:r>
    </w:p>
    <w:p w:rsidR="00563A0A" w:rsidRDefault="00563A0A" w:rsidP="005470DD">
      <w:pPr>
        <w:pStyle w:val="Prrafodelista"/>
        <w:numPr>
          <w:ilvl w:val="0"/>
          <w:numId w:val="1"/>
        </w:numPr>
      </w:pPr>
      <w:r>
        <w:t>Máster Universitario en Protección, Investigación y Preservación del Patrimonio Cultural.</w:t>
      </w:r>
    </w:p>
    <w:p w:rsidR="00563A0A" w:rsidRDefault="00563A0A" w:rsidP="005470DD">
      <w:pPr>
        <w:pStyle w:val="Prrafodelista"/>
        <w:numPr>
          <w:ilvl w:val="0"/>
          <w:numId w:val="1"/>
        </w:numPr>
      </w:pPr>
      <w:r>
        <w:t>Máster Universitario en Gestión de Proyectos</w:t>
      </w:r>
    </w:p>
    <w:p w:rsidR="00AE4870" w:rsidRDefault="00393881">
      <w:r>
        <w:rPr>
          <w:noProof/>
        </w:rPr>
        <w:pict>
          <v:rect id="Rectángulo 1" o:spid="_x0000_s1026" style="position:absolute;margin-left:16.2pt;margin-top:166.2pt;width:81pt;height:9.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" fillcolor="#4472c4 [3204]" strokecolor="#09101d [484]" strokeweight="1pt"/>
        </w:pict>
      </w:r>
    </w:p>
    <w:p w:rsidR="00AE4870" w:rsidRDefault="00AE4870"/>
    <w:p w:rsidR="00686BBD" w:rsidRDefault="00686BBD" w:rsidP="00686BBD">
      <w:pPr>
        <w:pStyle w:val="Default"/>
      </w:pPr>
    </w:p>
    <w:p w:rsidR="00563A0A" w:rsidRDefault="00563A0A" w:rsidP="00686BBD">
      <w:pPr>
        <w:pStyle w:val="Default"/>
        <w:spacing w:after="118"/>
        <w:rPr>
          <w:b/>
          <w:bCs/>
          <w:sz w:val="23"/>
          <w:szCs w:val="23"/>
        </w:rPr>
      </w:pPr>
    </w:p>
    <w:p w:rsidR="00563A0A" w:rsidRDefault="00563A0A" w:rsidP="00686BBD">
      <w:pPr>
        <w:pStyle w:val="Default"/>
        <w:spacing w:after="118"/>
        <w:rPr>
          <w:b/>
          <w:bCs/>
          <w:sz w:val="23"/>
          <w:szCs w:val="23"/>
        </w:rPr>
      </w:pPr>
    </w:p>
    <w:p w:rsidR="00563A0A" w:rsidRDefault="00563A0A" w:rsidP="00686BBD">
      <w:pPr>
        <w:pStyle w:val="Default"/>
        <w:spacing w:after="118"/>
        <w:rPr>
          <w:b/>
          <w:bCs/>
          <w:sz w:val="23"/>
          <w:szCs w:val="23"/>
        </w:rPr>
      </w:pPr>
    </w:p>
    <w:p w:rsidR="00686BBD" w:rsidRDefault="00686BBD" w:rsidP="00686BBD">
      <w:pPr>
        <w:pStyle w:val="Default"/>
        <w:spacing w:after="118"/>
        <w:rPr>
          <w:b/>
          <w:bCs/>
          <w:sz w:val="23"/>
          <w:szCs w:val="23"/>
        </w:rPr>
      </w:pPr>
      <w:r>
        <w:rPr>
          <w:b/>
          <w:bCs/>
          <w:sz w:val="23"/>
          <w:szCs w:val="23"/>
        </w:rPr>
        <w:t>Otras condiciones:</w:t>
      </w:r>
    </w:p>
    <w:p w:rsidR="00686BBD" w:rsidRDefault="00686BBD" w:rsidP="005470DD">
      <w:pPr>
        <w:pStyle w:val="Default"/>
        <w:spacing w:after="118"/>
        <w:jc w:val="both"/>
        <w:rPr>
          <w:sz w:val="23"/>
          <w:szCs w:val="23"/>
        </w:rPr>
      </w:pPr>
      <w:r>
        <w:rPr>
          <w:b/>
          <w:bCs/>
          <w:sz w:val="23"/>
          <w:szCs w:val="23"/>
        </w:rPr>
        <w:t xml:space="preserve"> </w:t>
      </w:r>
      <w:r w:rsidR="005470DD">
        <w:rPr>
          <w:rFonts w:ascii="Calibri" w:hAnsi="Calibri" w:cs="Calibri"/>
          <w:sz w:val="23"/>
          <w:szCs w:val="23"/>
        </w:rPr>
        <w:t>I</w:t>
      </w:r>
      <w:r>
        <w:rPr>
          <w:rFonts w:ascii="Calibri" w:hAnsi="Calibri" w:cs="Calibri"/>
          <w:sz w:val="23"/>
          <w:szCs w:val="23"/>
        </w:rPr>
        <w:t xml:space="preserve">. </w:t>
      </w:r>
      <w:r>
        <w:rPr>
          <w:sz w:val="23"/>
          <w:szCs w:val="23"/>
        </w:rPr>
        <w:t xml:space="preserve">El beneficiario para el que se solicite la aplicación del Descuento no deberá estar ya matriculado en la Universidad Católica de Ávila. El beneficiario debe ser, por tanto, alumno de nuevo ingreso. </w:t>
      </w:r>
    </w:p>
    <w:p w:rsidR="00686BBD" w:rsidRDefault="005470DD" w:rsidP="005470DD">
      <w:pPr>
        <w:pStyle w:val="Default"/>
        <w:spacing w:after="118"/>
        <w:jc w:val="both"/>
        <w:rPr>
          <w:sz w:val="23"/>
          <w:szCs w:val="23"/>
        </w:rPr>
      </w:pPr>
      <w:r>
        <w:rPr>
          <w:rFonts w:ascii="Calibri" w:hAnsi="Calibri" w:cs="Calibri"/>
          <w:sz w:val="23"/>
          <w:szCs w:val="23"/>
        </w:rPr>
        <w:t>II</w:t>
      </w:r>
      <w:r w:rsidR="00686BBD">
        <w:rPr>
          <w:rFonts w:ascii="Calibri" w:hAnsi="Calibri" w:cs="Calibri"/>
          <w:sz w:val="23"/>
          <w:szCs w:val="23"/>
        </w:rPr>
        <w:t xml:space="preserve">. </w:t>
      </w:r>
      <w:r w:rsidR="00686BBD">
        <w:rPr>
          <w:sz w:val="23"/>
          <w:szCs w:val="23"/>
        </w:rPr>
        <w:t xml:space="preserve">Tal Descuento lineal será aplicable a las tasas de matrícula de nuevo ingreso y las posteriores matrículas de continuación de estudios que formalice el beneficiario. </w:t>
      </w:r>
    </w:p>
    <w:p w:rsidR="00686BBD" w:rsidRDefault="005470DD" w:rsidP="005470DD">
      <w:pPr>
        <w:pStyle w:val="Default"/>
        <w:spacing w:after="118"/>
        <w:jc w:val="both"/>
        <w:rPr>
          <w:sz w:val="23"/>
          <w:szCs w:val="23"/>
        </w:rPr>
      </w:pPr>
      <w:r>
        <w:rPr>
          <w:rFonts w:ascii="Calibri" w:hAnsi="Calibri" w:cs="Calibri"/>
          <w:sz w:val="23"/>
          <w:szCs w:val="23"/>
        </w:rPr>
        <w:t>III</w:t>
      </w:r>
      <w:r w:rsidR="00686BBD">
        <w:rPr>
          <w:rFonts w:ascii="Calibri" w:hAnsi="Calibri" w:cs="Calibri"/>
          <w:sz w:val="23"/>
          <w:szCs w:val="23"/>
        </w:rPr>
        <w:t xml:space="preserve">. </w:t>
      </w:r>
      <w:r w:rsidR="00686BBD">
        <w:rPr>
          <w:sz w:val="23"/>
          <w:szCs w:val="23"/>
        </w:rPr>
        <w:t xml:space="preserve">Tal Descuento lineal se entenderá aplicado sobre el coste de los ECTS en los que el alumno se matricule en cada curso académico. Se excluye, por tanto, la aplicación del Descuento sobre las tasas administrativas y otros gastos que pudieran ser aplicados por la Universidad (reconocimiento de créditos, expedición de certificados, entre otros). </w:t>
      </w:r>
    </w:p>
    <w:p w:rsidR="00686BBD" w:rsidRDefault="005470DD" w:rsidP="005470DD">
      <w:pPr>
        <w:pStyle w:val="Default"/>
        <w:jc w:val="both"/>
        <w:rPr>
          <w:sz w:val="23"/>
          <w:szCs w:val="23"/>
        </w:rPr>
      </w:pPr>
      <w:r>
        <w:rPr>
          <w:rFonts w:ascii="Calibri" w:hAnsi="Calibri" w:cs="Calibri"/>
          <w:sz w:val="23"/>
          <w:szCs w:val="23"/>
        </w:rPr>
        <w:t>IV</w:t>
      </w:r>
      <w:r w:rsidR="00686BBD">
        <w:rPr>
          <w:rFonts w:ascii="Calibri" w:hAnsi="Calibri" w:cs="Calibri"/>
          <w:sz w:val="23"/>
          <w:szCs w:val="23"/>
        </w:rPr>
        <w:t xml:space="preserve">. </w:t>
      </w:r>
      <w:r w:rsidR="00686BBD">
        <w:rPr>
          <w:sz w:val="23"/>
          <w:szCs w:val="23"/>
        </w:rPr>
        <w:t xml:space="preserve">El Descuento lineal no será aplicable a las segundas y posteriores matrículas que realice el beneficiario en una misma asignatura. </w:t>
      </w:r>
    </w:p>
    <w:p w:rsidR="00686BBD" w:rsidRDefault="00686BBD" w:rsidP="00686BBD">
      <w:pPr>
        <w:pStyle w:val="Default"/>
        <w:rPr>
          <w:sz w:val="23"/>
          <w:szCs w:val="23"/>
        </w:rPr>
      </w:pPr>
    </w:p>
    <w:p w:rsidR="00360F2F" w:rsidRDefault="00360F2F" w:rsidP="00360F2F">
      <w:pPr>
        <w:pStyle w:val="Default"/>
      </w:pPr>
    </w:p>
    <w:p w:rsidR="00360F2F" w:rsidRDefault="00360F2F"/>
    <w:sectPr w:rsidR="00360F2F" w:rsidSect="00DF50F4">
      <w:pgSz w:w="11906" w:h="16838"/>
      <w:pgMar w:top="28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202BD"/>
    <w:multiLevelType w:val="hybridMultilevel"/>
    <w:tmpl w:val="8062B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E4870"/>
    <w:rsid w:val="00360F2F"/>
    <w:rsid w:val="00393881"/>
    <w:rsid w:val="005470DD"/>
    <w:rsid w:val="00563A0A"/>
    <w:rsid w:val="00620F73"/>
    <w:rsid w:val="00686BBD"/>
    <w:rsid w:val="00AE4870"/>
    <w:rsid w:val="00DF50F4"/>
    <w:rsid w:val="00E012DA"/>
    <w:rsid w:val="00E57E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81"/>
  </w:style>
  <w:style w:type="paragraph" w:styleId="Ttulo1">
    <w:name w:val="heading 1"/>
    <w:basedOn w:val="Normal"/>
    <w:next w:val="Normal"/>
    <w:link w:val="Ttulo1Car"/>
    <w:uiPriority w:val="9"/>
    <w:qFormat/>
    <w:rsid w:val="00686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686BB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60F2F"/>
    <w:pPr>
      <w:autoSpaceDE w:val="0"/>
      <w:autoSpaceDN w:val="0"/>
      <w:adjustRightInd w:val="0"/>
      <w:spacing w:after="0" w:line="240" w:lineRule="auto"/>
    </w:pPr>
    <w:rPr>
      <w:rFonts w:ascii="Arial Narrow" w:hAnsi="Arial Narrow" w:cs="Arial Narrow"/>
      <w:color w:val="000000"/>
      <w:kern w:val="0"/>
      <w:sz w:val="24"/>
      <w:szCs w:val="24"/>
    </w:rPr>
  </w:style>
  <w:style w:type="character" w:customStyle="1" w:styleId="Ttulo2Car">
    <w:name w:val="Título 2 Car"/>
    <w:basedOn w:val="Fuentedeprrafopredeter"/>
    <w:link w:val="Ttulo2"/>
    <w:uiPriority w:val="9"/>
    <w:rsid w:val="00686BBD"/>
    <w:rPr>
      <w:rFonts w:ascii="Times New Roman" w:eastAsia="Times New Roman" w:hAnsi="Times New Roman" w:cs="Times New Roman"/>
      <w:b/>
      <w:bCs/>
      <w:kern w:val="0"/>
      <w:sz w:val="36"/>
      <w:szCs w:val="36"/>
      <w:lang w:eastAsia="es-ES"/>
    </w:rPr>
  </w:style>
  <w:style w:type="character" w:styleId="Hipervnculo">
    <w:name w:val="Hyperlink"/>
    <w:basedOn w:val="Fuentedeprrafopredeter"/>
    <w:uiPriority w:val="99"/>
    <w:semiHidden/>
    <w:unhideWhenUsed/>
    <w:rsid w:val="00686BBD"/>
    <w:rPr>
      <w:color w:val="0000FF"/>
      <w:u w:val="single"/>
    </w:rPr>
  </w:style>
  <w:style w:type="paragraph" w:styleId="NormalWeb">
    <w:name w:val="Normal (Web)"/>
    <w:basedOn w:val="Normal"/>
    <w:uiPriority w:val="99"/>
    <w:semiHidden/>
    <w:unhideWhenUsed/>
    <w:rsid w:val="00686BBD"/>
    <w:pPr>
      <w:spacing w:before="100" w:beforeAutospacing="1" w:after="100" w:afterAutospacing="1" w:line="240" w:lineRule="auto"/>
    </w:pPr>
    <w:rPr>
      <w:rFonts w:ascii="Times New Roman" w:eastAsia="Times New Roman" w:hAnsi="Times New Roman" w:cs="Times New Roman"/>
      <w:kern w:val="0"/>
      <w:sz w:val="24"/>
      <w:szCs w:val="24"/>
      <w:lang w:eastAsia="es-ES"/>
    </w:rPr>
  </w:style>
  <w:style w:type="character" w:customStyle="1" w:styleId="Ttulo1Car">
    <w:name w:val="Título 1 Car"/>
    <w:basedOn w:val="Fuentedeprrafopredeter"/>
    <w:link w:val="Ttulo1"/>
    <w:uiPriority w:val="9"/>
    <w:rsid w:val="00686BBD"/>
    <w:rPr>
      <w:rFonts w:asciiTheme="majorHAnsi" w:eastAsiaTheme="majorEastAsia" w:hAnsiTheme="majorHAnsi" w:cstheme="majorBidi"/>
      <w:color w:val="2F5496" w:themeColor="accent1" w:themeShade="BF"/>
      <w:sz w:val="32"/>
      <w:szCs w:val="32"/>
    </w:rPr>
  </w:style>
  <w:style w:type="paragraph" w:styleId="Textodeglobo">
    <w:name w:val="Balloon Text"/>
    <w:basedOn w:val="Normal"/>
    <w:link w:val="TextodegloboCar"/>
    <w:uiPriority w:val="99"/>
    <w:semiHidden/>
    <w:unhideWhenUsed/>
    <w:rsid w:val="005470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70DD"/>
    <w:rPr>
      <w:rFonts w:ascii="Tahoma" w:hAnsi="Tahoma" w:cs="Tahoma"/>
      <w:sz w:val="16"/>
      <w:szCs w:val="16"/>
    </w:rPr>
  </w:style>
  <w:style w:type="paragraph" w:styleId="Prrafodelista">
    <w:name w:val="List Paragraph"/>
    <w:basedOn w:val="Normal"/>
    <w:uiPriority w:val="34"/>
    <w:qFormat/>
    <w:rsid w:val="005470DD"/>
    <w:pPr>
      <w:ind w:left="720"/>
      <w:contextualSpacing/>
    </w:pPr>
  </w:style>
</w:styles>
</file>

<file path=word/webSettings.xml><?xml version="1.0" encoding="utf-8"?>
<w:webSettings xmlns:r="http://schemas.openxmlformats.org/officeDocument/2006/relationships" xmlns:w="http://schemas.openxmlformats.org/wordprocessingml/2006/main">
  <w:divs>
    <w:div w:id="659162458">
      <w:bodyDiv w:val="1"/>
      <w:marLeft w:val="0"/>
      <w:marRight w:val="0"/>
      <w:marTop w:val="0"/>
      <w:marBottom w:val="0"/>
      <w:divBdr>
        <w:top w:val="none" w:sz="0" w:space="0" w:color="auto"/>
        <w:left w:val="none" w:sz="0" w:space="0" w:color="auto"/>
        <w:bottom w:val="none" w:sz="0" w:space="0" w:color="auto"/>
        <w:right w:val="none" w:sz="0" w:space="0" w:color="auto"/>
      </w:divBdr>
      <w:divsChild>
        <w:div w:id="1486162308">
          <w:marLeft w:val="0"/>
          <w:marRight w:val="0"/>
          <w:marTop w:val="0"/>
          <w:marBottom w:val="0"/>
          <w:divBdr>
            <w:top w:val="none" w:sz="0" w:space="0" w:color="auto"/>
            <w:left w:val="none" w:sz="0" w:space="0" w:color="auto"/>
            <w:bottom w:val="none" w:sz="0" w:space="0" w:color="auto"/>
            <w:right w:val="none" w:sz="0" w:space="0" w:color="auto"/>
          </w:divBdr>
        </w:div>
        <w:div w:id="278489250">
          <w:marLeft w:val="0"/>
          <w:marRight w:val="0"/>
          <w:marTop w:val="0"/>
          <w:marBottom w:val="0"/>
          <w:divBdr>
            <w:top w:val="none" w:sz="0" w:space="0" w:color="auto"/>
            <w:left w:val="none" w:sz="0" w:space="0" w:color="auto"/>
            <w:bottom w:val="none" w:sz="0" w:space="0" w:color="auto"/>
            <w:right w:val="none" w:sz="0" w:space="0" w:color="auto"/>
          </w:divBdr>
        </w:div>
      </w:divsChild>
    </w:div>
    <w:div w:id="741176873">
      <w:bodyDiv w:val="1"/>
      <w:marLeft w:val="0"/>
      <w:marRight w:val="0"/>
      <w:marTop w:val="0"/>
      <w:marBottom w:val="0"/>
      <w:divBdr>
        <w:top w:val="none" w:sz="0" w:space="0" w:color="auto"/>
        <w:left w:val="none" w:sz="0" w:space="0" w:color="auto"/>
        <w:bottom w:val="none" w:sz="0" w:space="0" w:color="auto"/>
        <w:right w:val="none" w:sz="0" w:space="0" w:color="auto"/>
      </w:divBdr>
    </w:div>
    <w:div w:id="1143087216">
      <w:bodyDiv w:val="1"/>
      <w:marLeft w:val="0"/>
      <w:marRight w:val="0"/>
      <w:marTop w:val="0"/>
      <w:marBottom w:val="0"/>
      <w:divBdr>
        <w:top w:val="none" w:sz="0" w:space="0" w:color="auto"/>
        <w:left w:val="none" w:sz="0" w:space="0" w:color="auto"/>
        <w:bottom w:val="none" w:sz="0" w:space="0" w:color="auto"/>
        <w:right w:val="none" w:sz="0" w:space="0" w:color="auto"/>
      </w:divBdr>
      <w:divsChild>
        <w:div w:id="508372456">
          <w:marLeft w:val="0"/>
          <w:marRight w:val="0"/>
          <w:marTop w:val="0"/>
          <w:marBottom w:val="0"/>
          <w:divBdr>
            <w:top w:val="none" w:sz="0" w:space="0" w:color="auto"/>
            <w:left w:val="none" w:sz="0" w:space="0" w:color="auto"/>
            <w:bottom w:val="none" w:sz="0" w:space="0" w:color="auto"/>
            <w:right w:val="none" w:sz="0" w:space="0" w:color="auto"/>
          </w:divBdr>
        </w:div>
      </w:divsChild>
    </w:div>
    <w:div w:id="1264730097">
      <w:bodyDiv w:val="1"/>
      <w:marLeft w:val="0"/>
      <w:marRight w:val="0"/>
      <w:marTop w:val="0"/>
      <w:marBottom w:val="0"/>
      <w:divBdr>
        <w:top w:val="none" w:sz="0" w:space="0" w:color="auto"/>
        <w:left w:val="none" w:sz="0" w:space="0" w:color="auto"/>
        <w:bottom w:val="none" w:sz="0" w:space="0" w:color="auto"/>
        <w:right w:val="none" w:sz="0" w:space="0" w:color="auto"/>
      </w:divBdr>
      <w:divsChild>
        <w:div w:id="870991782">
          <w:marLeft w:val="0"/>
          <w:marRight w:val="0"/>
          <w:marTop w:val="0"/>
          <w:marBottom w:val="0"/>
          <w:divBdr>
            <w:top w:val="none" w:sz="0" w:space="0" w:color="auto"/>
            <w:left w:val="none" w:sz="0" w:space="0" w:color="auto"/>
            <w:bottom w:val="none" w:sz="0" w:space="0" w:color="auto"/>
            <w:right w:val="none" w:sz="0" w:space="0" w:color="auto"/>
          </w:divBdr>
          <w:divsChild>
            <w:div w:id="10382381">
              <w:marLeft w:val="0"/>
              <w:marRight w:val="0"/>
              <w:marTop w:val="0"/>
              <w:marBottom w:val="0"/>
              <w:divBdr>
                <w:top w:val="none" w:sz="0" w:space="0" w:color="auto"/>
                <w:left w:val="none" w:sz="0" w:space="0" w:color="auto"/>
                <w:bottom w:val="none" w:sz="0" w:space="0" w:color="auto"/>
                <w:right w:val="none" w:sz="0" w:space="0" w:color="auto"/>
              </w:divBdr>
              <w:divsChild>
                <w:div w:id="696389843">
                  <w:marLeft w:val="0"/>
                  <w:marRight w:val="0"/>
                  <w:marTop w:val="0"/>
                  <w:marBottom w:val="0"/>
                  <w:divBdr>
                    <w:top w:val="none" w:sz="0" w:space="0" w:color="auto"/>
                    <w:left w:val="none" w:sz="0" w:space="0" w:color="auto"/>
                    <w:bottom w:val="none" w:sz="0" w:space="0" w:color="auto"/>
                    <w:right w:val="none" w:sz="0" w:space="0" w:color="auto"/>
                  </w:divBdr>
                  <w:divsChild>
                    <w:div w:id="1152217806">
                      <w:marLeft w:val="0"/>
                      <w:marRight w:val="0"/>
                      <w:marTop w:val="0"/>
                      <w:marBottom w:val="0"/>
                      <w:divBdr>
                        <w:top w:val="none" w:sz="0" w:space="0" w:color="auto"/>
                        <w:left w:val="none" w:sz="0" w:space="0" w:color="auto"/>
                        <w:bottom w:val="none" w:sz="0" w:space="0" w:color="auto"/>
                        <w:right w:val="none" w:sz="0" w:space="0" w:color="auto"/>
                      </w:divBdr>
                    </w:div>
                    <w:div w:id="20353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40815">
      <w:bodyDiv w:val="1"/>
      <w:marLeft w:val="0"/>
      <w:marRight w:val="0"/>
      <w:marTop w:val="0"/>
      <w:marBottom w:val="0"/>
      <w:divBdr>
        <w:top w:val="none" w:sz="0" w:space="0" w:color="auto"/>
        <w:left w:val="none" w:sz="0" w:space="0" w:color="auto"/>
        <w:bottom w:val="none" w:sz="0" w:space="0" w:color="auto"/>
        <w:right w:val="none" w:sz="0" w:space="0" w:color="auto"/>
      </w:divBdr>
      <w:divsChild>
        <w:div w:id="1396658477">
          <w:marLeft w:val="0"/>
          <w:marRight w:val="0"/>
          <w:marTop w:val="0"/>
          <w:marBottom w:val="0"/>
          <w:divBdr>
            <w:top w:val="none" w:sz="0" w:space="0" w:color="auto"/>
            <w:left w:val="none" w:sz="0" w:space="0" w:color="auto"/>
            <w:bottom w:val="none" w:sz="0" w:space="0" w:color="auto"/>
            <w:right w:val="none" w:sz="0" w:space="0" w:color="auto"/>
          </w:divBdr>
        </w:div>
      </w:divsChild>
    </w:div>
    <w:div w:id="200658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429</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Datos</cp:lastModifiedBy>
  <cp:revision>3</cp:revision>
  <dcterms:created xsi:type="dcterms:W3CDTF">2024-06-28T09:54:00Z</dcterms:created>
  <dcterms:modified xsi:type="dcterms:W3CDTF">2024-07-01T12:30:00Z</dcterms:modified>
</cp:coreProperties>
</file>